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92C3D64" w:rsidR="0015728A" w:rsidRDefault="0015728A" w:rsidP="0073315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870CA9">
        <w:rPr>
          <w:b/>
          <w:noProof/>
          <w:sz w:val="24"/>
        </w:rPr>
        <w:t>239</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6836ECD" w:rsidR="000915B7" w:rsidRPr="000B61FB" w:rsidRDefault="00592A06" w:rsidP="00C03A1E">
            <w:pPr>
              <w:pStyle w:val="CRCoverPage"/>
              <w:spacing w:after="0"/>
              <w:jc w:val="right"/>
              <w:rPr>
                <w:b/>
                <w:sz w:val="28"/>
              </w:rPr>
            </w:pPr>
            <w:r w:rsidRPr="000B61FB">
              <w:rPr>
                <w:b/>
                <w:sz w:val="28"/>
              </w:rPr>
              <w:t>29.</w:t>
            </w:r>
            <w:r w:rsidR="000E7E92" w:rsidRPr="000B61FB">
              <w:rPr>
                <w:b/>
                <w:sz w:val="28"/>
              </w:rPr>
              <w:t>5</w:t>
            </w:r>
            <w:r w:rsidR="00C03A1E">
              <w:rPr>
                <w:b/>
                <w:sz w:val="28"/>
              </w:rPr>
              <w:t>13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C3D0502" w:rsidR="000915B7" w:rsidRPr="000B61FB" w:rsidRDefault="00D37A21" w:rsidP="006416B4">
            <w:pPr>
              <w:pStyle w:val="CRCoverPage"/>
              <w:spacing w:after="0"/>
            </w:pPr>
            <w:r w:rsidRPr="000B61FB">
              <w:rPr>
                <w:b/>
                <w:sz w:val="28"/>
              </w:rPr>
              <w:t>0</w:t>
            </w:r>
            <w:r w:rsidR="006416B4">
              <w:rPr>
                <w:b/>
                <w:sz w:val="28"/>
              </w:rPr>
              <w:t>338</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6B90E51" w:rsidR="000915B7" w:rsidRPr="000B61FB" w:rsidRDefault="00592A06" w:rsidP="00E40E5A">
            <w:pPr>
              <w:pStyle w:val="CRCoverPage"/>
              <w:spacing w:after="0"/>
              <w:jc w:val="center"/>
              <w:rPr>
                <w:sz w:val="28"/>
              </w:rPr>
            </w:pPr>
            <w:r w:rsidRPr="000B61FB">
              <w:rPr>
                <w:b/>
                <w:sz w:val="28"/>
              </w:rPr>
              <w:t>17.</w:t>
            </w:r>
            <w:r w:rsidR="00E40E5A">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58887F3" w:rsidR="000915B7" w:rsidRPr="000B61FB" w:rsidRDefault="00C03A1E" w:rsidP="006B26BD">
            <w:pPr>
              <w:pStyle w:val="CRCoverPage"/>
              <w:spacing w:after="0"/>
              <w:ind w:left="100"/>
            </w:pPr>
            <w:r>
              <w:t xml:space="preserve">Correction to PCF subscription on </w:t>
            </w:r>
            <w:r w:rsidRPr="00B61745">
              <w:t>USER_DATA_CONGESTION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CF9B722" w:rsidR="000915B7" w:rsidRPr="000B61FB" w:rsidRDefault="00C90975">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75CDE09B" w:rsidR="000915B7" w:rsidRPr="000B61FB" w:rsidRDefault="00185D64" w:rsidP="00E40E5A">
            <w:pPr>
              <w:pStyle w:val="CRCoverPage"/>
              <w:spacing w:after="0"/>
              <w:ind w:left="100"/>
            </w:pPr>
            <w:r w:rsidRPr="000B61FB">
              <w:t>202</w:t>
            </w:r>
            <w:r w:rsidR="00737EE3">
              <w:t>2</w:t>
            </w:r>
            <w:r w:rsidRPr="000B61FB">
              <w:t>-</w:t>
            </w:r>
            <w:r w:rsidR="00E40E5A">
              <w:t>3</w:t>
            </w:r>
            <w:r w:rsidRPr="000B61FB">
              <w:t>-</w:t>
            </w:r>
            <w:r w:rsidR="00E40E5A">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82A65DF" w14:textId="645EB9CE" w:rsidR="006B26BD" w:rsidRDefault="00C03A1E" w:rsidP="0073315E">
            <w:pPr>
              <w:pStyle w:val="CRCoverPage"/>
              <w:spacing w:after="0"/>
            </w:pPr>
            <w:r>
              <w:t>In 5.4.3,</w:t>
            </w:r>
          </w:p>
          <w:p w14:paraId="43ADD03A" w14:textId="77777777" w:rsidR="00BE5888" w:rsidRDefault="00C03A1E" w:rsidP="00C03A1E">
            <w:pPr>
              <w:pStyle w:val="CRCoverPage"/>
              <w:numPr>
                <w:ilvl w:val="0"/>
                <w:numId w:val="49"/>
              </w:numPr>
              <w:spacing w:after="0"/>
              <w:rPr>
                <w:lang w:eastAsia="zh-CN"/>
              </w:rPr>
            </w:pPr>
            <w:r>
              <w:rPr>
                <w:lang w:eastAsia="zh-CN"/>
              </w:rPr>
              <w:t xml:space="preserve">in the bullet for </w:t>
            </w:r>
            <w:r w:rsidRPr="00B61745">
              <w:rPr>
                <w:lang w:eastAsia="zh-CN"/>
              </w:rPr>
              <w:t xml:space="preserve">USER_DATA_CONGESTION </w:t>
            </w:r>
            <w:r>
              <w:rPr>
                <w:lang w:eastAsia="zh-CN"/>
              </w:rPr>
              <w:t xml:space="preserve">event subscription, </w:t>
            </w:r>
            <w:r w:rsidRPr="00B61745">
              <w:rPr>
                <w:lang w:eastAsia="zh-CN"/>
              </w:rPr>
              <w:t xml:space="preserve">"topAppListUlInd" </w:t>
            </w:r>
            <w:r>
              <w:rPr>
                <w:lang w:eastAsia="zh-CN"/>
              </w:rPr>
              <w:t>and</w:t>
            </w:r>
            <w:r w:rsidRPr="00B61745">
              <w:rPr>
                <w:lang w:eastAsia="zh-CN"/>
              </w:rPr>
              <w:t xml:space="preserve"> " topAppListDlInd" attributes</w:t>
            </w:r>
            <w:r>
              <w:rPr>
                <w:lang w:eastAsia="zh-CN"/>
              </w:rPr>
              <w:t xml:space="preserve"> should be corrected to </w:t>
            </w:r>
            <w:r w:rsidRPr="00B61745">
              <w:rPr>
                <w:lang w:eastAsia="zh-CN"/>
              </w:rPr>
              <w:t>"</w:t>
            </w:r>
            <w:r>
              <w:rPr>
                <w:rFonts w:hint="eastAsia"/>
                <w:lang w:eastAsia="zh-CN"/>
              </w:rPr>
              <w:t>m</w:t>
            </w:r>
            <w:r>
              <w:rPr>
                <w:lang w:eastAsia="zh-CN"/>
              </w:rPr>
              <w:t>axTopAppUlNbr</w:t>
            </w:r>
            <w:r w:rsidRPr="00B61745">
              <w:rPr>
                <w:lang w:eastAsia="zh-CN"/>
              </w:rPr>
              <w:t>"</w:t>
            </w:r>
            <w:r>
              <w:rPr>
                <w:lang w:eastAsia="zh-CN"/>
              </w:rPr>
              <w:t xml:space="preserve"> and </w:t>
            </w:r>
            <w:r w:rsidRPr="00B61745">
              <w:rPr>
                <w:lang w:eastAsia="zh-CN"/>
              </w:rPr>
              <w:t>"</w:t>
            </w:r>
            <w:r>
              <w:rPr>
                <w:rFonts w:hint="eastAsia"/>
                <w:lang w:eastAsia="zh-CN"/>
              </w:rPr>
              <w:t>m</w:t>
            </w:r>
            <w:r>
              <w:rPr>
                <w:lang w:eastAsia="zh-CN"/>
              </w:rPr>
              <w:t>axTopAppDlNbr</w:t>
            </w:r>
            <w:r w:rsidRPr="00B61745">
              <w:rPr>
                <w:lang w:eastAsia="zh-CN"/>
              </w:rPr>
              <w:t>"</w:t>
            </w:r>
            <w:r>
              <w:rPr>
                <w:lang w:eastAsia="zh-CN"/>
              </w:rPr>
              <w:t xml:space="preserve"> attributes respecti</w:t>
            </w:r>
            <w:r w:rsidR="00BE5888">
              <w:rPr>
                <w:lang w:eastAsia="zh-CN"/>
              </w:rPr>
              <w:t>vely to align with TS 29.520.</w:t>
            </w:r>
          </w:p>
          <w:p w14:paraId="740ACE0A" w14:textId="2B90613D" w:rsidR="00C03A1E" w:rsidRDefault="00BE5888" w:rsidP="00BE5888">
            <w:pPr>
              <w:pStyle w:val="CRCoverPage"/>
              <w:spacing w:after="0"/>
              <w:ind w:left="360"/>
              <w:rPr>
                <w:lang w:eastAsia="zh-CN"/>
              </w:rPr>
            </w:pPr>
            <w:r>
              <w:rPr>
                <w:lang w:eastAsia="zh-CN"/>
              </w:rPr>
              <w:t>I</w:t>
            </w:r>
            <w:r w:rsidR="00C03A1E">
              <w:rPr>
                <w:lang w:eastAsia="zh-CN"/>
              </w:rPr>
              <w:t xml:space="preserve">n addition, </w:t>
            </w:r>
            <w:r>
              <w:rPr>
                <w:lang w:eastAsia="zh-CN"/>
              </w:rPr>
              <w:t xml:space="preserve">as per TS 29.520, </w:t>
            </w:r>
            <w:r w:rsidR="00C03A1E">
              <w:rPr>
                <w:lang w:eastAsia="zh-CN"/>
              </w:rPr>
              <w:t>"</w:t>
            </w:r>
            <w:r w:rsidR="00C03A1E" w:rsidRPr="00B61745">
              <w:rPr>
                <w:lang w:eastAsia="zh-CN"/>
              </w:rPr>
              <w:t>networkArea"</w:t>
            </w:r>
            <w:r>
              <w:rPr>
                <w:lang w:eastAsia="zh-CN"/>
              </w:rPr>
              <w:t xml:space="preserve"> and</w:t>
            </w:r>
            <w:r w:rsidR="00C03A1E" w:rsidRPr="00B61745">
              <w:rPr>
                <w:lang w:eastAsia="zh-CN"/>
              </w:rPr>
              <w:t xml:space="preserve"> "congThresholds" attributes</w:t>
            </w:r>
            <w:r>
              <w:rPr>
                <w:lang w:eastAsia="zh-CN"/>
              </w:rPr>
              <w:t xml:space="preserve"> are under </w:t>
            </w:r>
            <w:r w:rsidRPr="00B61745">
              <w:t>"UserDataCongestion"</w:t>
            </w:r>
            <w:r>
              <w:t xml:space="preserve">, not </w:t>
            </w:r>
            <w:r w:rsidRPr="00B61745">
              <w:t>"UserDataCongestionExt"</w:t>
            </w:r>
            <w:r>
              <w:t xml:space="preserve"> feature.</w:t>
            </w:r>
          </w:p>
          <w:p w14:paraId="4B2CB9D7" w14:textId="77777777" w:rsidR="00BE5888" w:rsidRDefault="00BE5888" w:rsidP="00BE5888">
            <w:pPr>
              <w:pStyle w:val="CRCoverPage"/>
              <w:spacing w:after="0"/>
              <w:ind w:left="360"/>
              <w:rPr>
                <w:lang w:eastAsia="zh-CN"/>
              </w:rPr>
            </w:pPr>
          </w:p>
          <w:p w14:paraId="5DF10F18" w14:textId="11274696" w:rsidR="00C03A1E" w:rsidRDefault="00C03A1E" w:rsidP="00FD4118">
            <w:pPr>
              <w:pStyle w:val="CRCoverPage"/>
              <w:numPr>
                <w:ilvl w:val="0"/>
                <w:numId w:val="49"/>
              </w:numPr>
              <w:spacing w:after="0"/>
            </w:pPr>
            <w:r>
              <w:t xml:space="preserve">the bullet for </w:t>
            </w:r>
            <w:r>
              <w:rPr>
                <w:noProof/>
              </w:rPr>
              <w:t>UE_COMMUNICATION event subscription is listed twice.</w:t>
            </w:r>
          </w:p>
          <w:p w14:paraId="5F47F12E" w14:textId="74FA370B" w:rsidR="00E40E5A" w:rsidRPr="008E6391" w:rsidRDefault="00E40E5A" w:rsidP="00E40E5A">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7A8F5E5"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2BDFC98" w14:textId="5CEF2EC9" w:rsidR="00973069" w:rsidRDefault="00BE5888" w:rsidP="00C03A1E">
            <w:pPr>
              <w:pStyle w:val="CRCoverPage"/>
              <w:spacing w:after="0"/>
              <w:rPr>
                <w:lang w:eastAsia="zh-CN"/>
              </w:rPr>
            </w:pPr>
            <w:r>
              <w:rPr>
                <w:rFonts w:hint="eastAsia"/>
                <w:lang w:eastAsia="zh-CN"/>
              </w:rPr>
              <w:t>5.4.3 is updated to fix the issues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2D9048D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C75EE3C" w:rsidR="000915B7" w:rsidRPr="000B61FB" w:rsidRDefault="00C03A1E" w:rsidP="00C03A1E">
            <w:pPr>
              <w:pStyle w:val="CRCoverPage"/>
              <w:spacing w:after="0"/>
              <w:ind w:left="100"/>
              <w:rPr>
                <w:lang w:eastAsia="zh-CN"/>
              </w:rPr>
            </w:pPr>
            <w:r>
              <w:rPr>
                <w:lang w:eastAsia="zh-CN"/>
              </w:rPr>
              <w:t>Misalignment with TS 29.520.</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19916D5" w:rsidR="000915B7" w:rsidRPr="000B61FB" w:rsidRDefault="00C03A1E">
            <w:pPr>
              <w:pStyle w:val="CRCoverPage"/>
              <w:spacing w:after="0"/>
              <w:ind w:left="100"/>
              <w:rPr>
                <w:lang w:eastAsia="zh-CN"/>
              </w:rPr>
            </w:pPr>
            <w:r>
              <w:t>5.4.3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1B10506" w:rsidR="000915B7" w:rsidRPr="000B61FB" w:rsidRDefault="000915B7" w:rsidP="00E26D23">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2AD49F1" w14:textId="77777777" w:rsidR="00C03A1E" w:rsidRPr="003F0577" w:rsidRDefault="00C03A1E" w:rsidP="00C03A1E">
      <w:pPr>
        <w:pStyle w:val="3"/>
      </w:pPr>
      <w:bookmarkStart w:id="2" w:name="_Toc98144634"/>
      <w:r>
        <w:t>5.4.3</w:t>
      </w:r>
      <w:r>
        <w:tab/>
        <w:t>Policy decisions based on Network Analytics</w:t>
      </w:r>
      <w:bookmarkEnd w:id="2"/>
    </w:p>
    <w:p w14:paraId="6CFA7678" w14:textId="77777777" w:rsidR="00C03A1E" w:rsidRDefault="00C03A1E" w:rsidP="00C03A1E">
      <w:r>
        <w:t xml:space="preserve">The following Analytics IDs (observed events as described in 3GPP TS 29.520 [11]) are relevant for Policy decisions: "Slice Load level information", "Service Experience", "Network Performance", "Abnormal behaviour", "UE Mobility", "UE Communication", "User Data Congestion", "Data Dispersion" and "WLAN performance". </w:t>
      </w:r>
    </w:p>
    <w:p w14:paraId="5F9FC437" w14:textId="77777777" w:rsidR="00C03A1E" w:rsidRDefault="00C03A1E" w:rsidP="00C03A1E">
      <w:r>
        <w:t>The PCF may subscribe to these events and/or may retrieve the observed events when the information is needed.</w:t>
      </w:r>
    </w:p>
    <w:p w14:paraId="0F375E1B" w14:textId="77777777" w:rsidR="00C03A1E" w:rsidRDefault="00C03A1E" w:rsidP="00C03A1E">
      <w:r>
        <w:t>In order for the PCF to subscribe to these events, the PCF shall act as NF Service Consumer of the NWDAF as specified in 3GPP TS 29.520 [11] behaving as follows:</w:t>
      </w:r>
    </w:p>
    <w:p w14:paraId="5A21E967" w14:textId="77777777" w:rsidR="00C03A1E" w:rsidRDefault="00C03A1E" w:rsidP="00C03A1E">
      <w:pPr>
        <w:pStyle w:val="B1"/>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62040C14" w14:textId="77777777" w:rsidR="00C03A1E" w:rsidRDefault="00C03A1E" w:rsidP="00C03A1E">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5050382D" w14:textId="77777777" w:rsidR="00C03A1E" w:rsidRDefault="00C03A1E" w:rsidP="00C03A1E">
      <w:pPr>
        <w:pStyle w:val="B1"/>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and the "appIds" attribute with the</w:t>
      </w:r>
      <w:r w:rsidRPr="00183300">
        <w:t xml:space="preserve"> </w:t>
      </w:r>
      <w:r>
        <w:t>identification of application(s) to which the subscription applies.</w:t>
      </w:r>
    </w:p>
    <w:p w14:paraId="3087F92E" w14:textId="77777777" w:rsidR="00C03A1E" w:rsidRDefault="00C03A1E" w:rsidP="00C03A1E">
      <w:pPr>
        <w:pStyle w:val="B1"/>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6B6F2397" w14:textId="77777777" w:rsidR="00C03A1E" w:rsidRDefault="00C03A1E" w:rsidP="00C03A1E">
      <w:pPr>
        <w:pStyle w:val="B1"/>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21B53571" w14:textId="77777777" w:rsidR="00C03A1E" w:rsidRPr="00DA26EC" w:rsidRDefault="00C03A1E" w:rsidP="00C03A1E">
      <w:pPr>
        <w:pStyle w:val="B1"/>
        <w:rPr>
          <w:highlight w:val="yellow"/>
        </w:rPr>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3FD004F2" w14:textId="77777777" w:rsidR="00C03A1E" w:rsidRDefault="00C03A1E" w:rsidP="00C03A1E">
      <w:pPr>
        <w:pStyle w:val="B1"/>
      </w:pPr>
      <w:r>
        <w:t xml:space="preserve">- </w:t>
      </w:r>
      <w:r>
        <w:tab/>
        <w:t xml:space="preserve">If the </w:t>
      </w:r>
      <w:r>
        <w:rPr>
          <w:noProof/>
        </w:rPr>
        <w:t>feature "UeCommunication" is supported</w:t>
      </w:r>
      <w:r>
        <w:t xml:space="preserve"> as defined in TS 29.520 [11], the PCF</w:t>
      </w:r>
      <w:r w:rsidRPr="00183300">
        <w:t xml:space="preserve"> </w:t>
      </w:r>
      <w:r>
        <w:t>may subscribe to notifications of network analytics related to "UE communication" using the Nnwdaf_EventsSubscription_Subscribe service operation including the "event" attribute set to "</w:t>
      </w:r>
      <w:r>
        <w:rPr>
          <w:noProof/>
        </w:rPr>
        <w:t>UE_COMMUNICATION</w:t>
      </w:r>
      <w:r>
        <w:t>", the "tgtUe" attribute with the</w:t>
      </w:r>
      <w:r w:rsidRPr="00183300">
        <w:t xml:space="preserve"> </w:t>
      </w:r>
      <w:r>
        <w:t>identification of target UE(s) to which the subscription applies included in the "supis"or "intGroupIds" attribute and optionally the "appIds" attribute with the</w:t>
      </w:r>
      <w:r w:rsidRPr="00183300">
        <w:t xml:space="preserve"> </w:t>
      </w:r>
      <w:r>
        <w:t>identification of application(s) to which the subscription applies.</w:t>
      </w:r>
    </w:p>
    <w:p w14:paraId="2A5A8A0A" w14:textId="468645D2" w:rsidR="00C03A1E" w:rsidRDefault="00C03A1E" w:rsidP="00C03A1E">
      <w:pPr>
        <w:pStyle w:val="B1"/>
      </w:pPr>
      <w:r>
        <w:t>-</w:t>
      </w:r>
      <w:r>
        <w:tab/>
      </w:r>
      <w:r w:rsidRPr="00B61745">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ins w:id="3" w:author="zte" w:date="2022-03-30T14:53:00Z">
        <w:r>
          <w:t xml:space="preserve"> and optionally the "</w:t>
        </w:r>
        <w:r w:rsidRPr="00B61745">
          <w:t>networkArea", "congThresholds" attributes with the area of interests and the reporting threshold respectively</w:t>
        </w:r>
      </w:ins>
      <w:r w:rsidRPr="00B61745">
        <w:t>. If the feature "UserDataCongestionExt" is supported, the PCF may also provide the "</w:t>
      </w:r>
      <w:ins w:id="4" w:author="zte" w:date="2022-03-30T14:57:00Z">
        <w:r>
          <w:rPr>
            <w:rFonts w:hint="eastAsia"/>
          </w:rPr>
          <w:t>m</w:t>
        </w:r>
        <w:r>
          <w:t>axTopAppUlNbr</w:t>
        </w:r>
      </w:ins>
      <w:del w:id="5" w:author="zte" w:date="2022-03-30T14:57:00Z">
        <w:r w:rsidRPr="00B61745" w:rsidDel="00C03A1E">
          <w:delText>topAppListUlInd</w:delText>
        </w:r>
      </w:del>
      <w:r w:rsidRPr="00B61745">
        <w:t xml:space="preserve">" </w:t>
      </w:r>
      <w:r w:rsidRPr="00B61745">
        <w:lastRenderedPageBreak/>
        <w:t>and/or "</w:t>
      </w:r>
      <w:del w:id="6" w:author="zte" w:date="2022-03-30T14:55:00Z">
        <w:r w:rsidRPr="00B61745" w:rsidDel="00C03A1E">
          <w:delText xml:space="preserve"> </w:delText>
        </w:r>
      </w:del>
      <w:ins w:id="7" w:author="zte" w:date="2022-03-30T14:57:00Z">
        <w:r>
          <w:rPr>
            <w:rFonts w:hint="eastAsia"/>
          </w:rPr>
          <w:t>m</w:t>
        </w:r>
        <w:r>
          <w:t>axTopAppDlNbr</w:t>
        </w:r>
      </w:ins>
      <w:del w:id="8" w:author="zte" w:date="2022-03-30T14:57:00Z">
        <w:r w:rsidRPr="00B61745" w:rsidDel="00C03A1E">
          <w:delText>topAppListDlInd</w:delText>
        </w:r>
      </w:del>
      <w:r w:rsidRPr="00B61745">
        <w:t xml:space="preserve">" attributes with the </w:t>
      </w:r>
      <w:ins w:id="9" w:author="zte" w:date="2022-03-30T14:58:00Z">
        <w:r>
          <w:t>requested maximum number of top</w:t>
        </w:r>
        <w:r w:rsidRPr="00B61745">
          <w:t xml:space="preserve"> </w:t>
        </w:r>
      </w:ins>
      <w:del w:id="10" w:author="zte" w:date="2022-03-30T14:58:00Z">
        <w:r w:rsidRPr="00B61745" w:rsidDel="00C03A1E">
          <w:delText xml:space="preserve">identifiers of the </w:delText>
        </w:r>
      </w:del>
      <w:r w:rsidRPr="00B61745">
        <w:t>applications that contribute the most to the traffic</w:t>
      </w:r>
      <w:del w:id="11" w:author="zte" w:date="2022-03-30T14:53:00Z">
        <w:r w:rsidRPr="00B61745" w:rsidDel="00C03A1E">
          <w:delText xml:space="preserve"> and optionally the " networkArea", "congThresholds" attributes with the area of interests and the reporting threshold respectively</w:delText>
        </w:r>
      </w:del>
      <w:r w:rsidRPr="00B61745">
        <w:t>.</w:t>
      </w:r>
    </w:p>
    <w:p w14:paraId="6E6E581A" w14:textId="6C24CDC7" w:rsidR="00C03A1E" w:rsidRPr="00B61745" w:rsidDel="00C03A1E" w:rsidRDefault="00C03A1E" w:rsidP="00C03A1E">
      <w:pPr>
        <w:pStyle w:val="B1"/>
        <w:rPr>
          <w:del w:id="12" w:author="zte" w:date="2022-03-30T14:53:00Z"/>
        </w:rPr>
      </w:pPr>
      <w:del w:id="13" w:author="zte" w:date="2022-03-30T14:53:00Z">
        <w:r w:rsidRPr="00B61745" w:rsidDel="00C03A1E">
          <w:delText xml:space="preserve"> </w:delText>
        </w:r>
        <w:r w:rsidDel="00C03A1E">
          <w:delText xml:space="preserve">- </w:delText>
        </w:r>
        <w:r w:rsidDel="00C03A1E">
          <w:tab/>
          <w:delText xml:space="preserve">If the </w:delText>
        </w:r>
        <w:r w:rsidDel="00C03A1E">
          <w:rPr>
            <w:noProof/>
          </w:rPr>
          <w:delText>feature "UeCommunication" is supported</w:delText>
        </w:r>
        <w:r w:rsidDel="00C03A1E">
          <w:delText xml:space="preserve"> as defined in TS 29.520 [11], the PCF</w:delText>
        </w:r>
        <w:r w:rsidRPr="00183300" w:rsidDel="00C03A1E">
          <w:delText xml:space="preserve"> </w:delText>
        </w:r>
        <w:r w:rsidDel="00C03A1E">
          <w:delText>may subscribe to notifications of network analytics related to "UE communication" using the Nnwdaf_EventsSubscription_Subscribe service operation including the "event" attribute set to "</w:delText>
        </w:r>
        <w:r w:rsidDel="00C03A1E">
          <w:rPr>
            <w:noProof/>
          </w:rPr>
          <w:delText>UE_COMMUNICATION</w:delText>
        </w:r>
        <w:r w:rsidDel="00C03A1E">
          <w:delText>", the "tgtUe" attribute with the</w:delText>
        </w:r>
        <w:r w:rsidRPr="00183300" w:rsidDel="00C03A1E">
          <w:delText xml:space="preserve"> </w:delText>
        </w:r>
        <w:r w:rsidDel="00C03A1E">
          <w:delText>identification of target UE(s) to which the subscription applies included in the "supis"or "intGroupIds" attribute and optionally the "appIds" attribute with the</w:delText>
        </w:r>
        <w:r w:rsidRPr="00183300" w:rsidDel="00C03A1E">
          <w:delText xml:space="preserve"> </w:delText>
        </w:r>
        <w:r w:rsidDel="00C03A1E">
          <w:delText>identification of application(s) to which the subscription applies.</w:delText>
        </w:r>
      </w:del>
    </w:p>
    <w:p w14:paraId="1A36DFAC" w14:textId="77777777" w:rsidR="00C03A1E" w:rsidRDefault="00C03A1E" w:rsidP="00C03A1E">
      <w:pPr>
        <w:pStyle w:val="EditorsNote"/>
        <w:ind w:left="1704" w:hanging="1420"/>
      </w:pPr>
      <w:r w:rsidRPr="008F0214">
        <w:t>Editor’s Note:</w:t>
      </w:r>
      <w:r w:rsidRPr="008F0214">
        <w:tab/>
        <w:t>PCF behaviour for "Data Dispersion" and "WLAN performance" will be introduced when available in the official version of TS 29.520</w:t>
      </w:r>
      <w:r w:rsidRPr="00B61745">
        <w:t>.</w:t>
      </w:r>
    </w:p>
    <w:p w14:paraId="462F97A2" w14:textId="77777777" w:rsidR="00C03A1E" w:rsidRPr="00DA26EC" w:rsidRDefault="00C03A1E" w:rsidP="00C03A1E">
      <w:pPr>
        <w:rPr>
          <w:rFonts w:eastAsia="等线"/>
        </w:rPr>
      </w:pPr>
      <w:r>
        <w:t xml:space="preserve">When the PCF requires the events related to any of these analytics Ids immediately, it shall initiate an </w:t>
      </w:r>
      <w:r>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等线"/>
        </w:rPr>
        <w:t>event-id</w:t>
      </w:r>
      <w:r>
        <w:t>", "event-filter"</w:t>
      </w:r>
      <w:r>
        <w:rPr>
          <w:rFonts w:eastAsia="等线"/>
        </w:rPr>
        <w:t xml:space="preserve"> and </w:t>
      </w:r>
      <w:r>
        <w:t xml:space="preserve">"ana-req" URI </w:t>
      </w:r>
      <w:r>
        <w:rPr>
          <w:rFonts w:eastAsia="等线"/>
        </w:rPr>
        <w:t>query parameters.</w:t>
      </w:r>
    </w:p>
    <w:p w14:paraId="2AD90D00" w14:textId="77777777" w:rsidR="00C03A1E" w:rsidRDefault="00C03A1E" w:rsidP="00C03A1E">
      <w:r>
        <w:t>Upon reception of any of the events as described above either in a subscription or retrieval request, the NWDAF shall behave as described in TS 29.520 [11].</w:t>
      </w:r>
    </w:p>
    <w:p w14:paraId="63D48919" w14:textId="77777777" w:rsidR="00C03A1E" w:rsidRDefault="00C03A1E" w:rsidP="00C03A1E">
      <w:r>
        <w:t>The subscribing and/or retrieving of analytics information by the PCF from the NWDAF may be triggered by:</w:t>
      </w:r>
    </w:p>
    <w:p w14:paraId="6B9C6496" w14:textId="77777777" w:rsidR="00C03A1E" w:rsidRDefault="00C03A1E" w:rsidP="00C03A1E">
      <w:pPr>
        <w:pStyle w:val="B1"/>
      </w:pPr>
      <w:r>
        <w:t>-</w:t>
      </w:r>
      <w:r>
        <w:tab/>
        <w:t>Requests from AF/NEF;</w:t>
      </w:r>
    </w:p>
    <w:p w14:paraId="69CBCCE5" w14:textId="77777777" w:rsidR="00C03A1E" w:rsidRDefault="00C03A1E" w:rsidP="00C03A1E">
      <w:pPr>
        <w:pStyle w:val="B1"/>
      </w:pPr>
      <w:r>
        <w:t>-</w:t>
      </w:r>
      <w:r>
        <w:tab/>
        <w:t>AM Policy association establishment or modification request from the AMF;</w:t>
      </w:r>
    </w:p>
    <w:p w14:paraId="4A805784" w14:textId="77777777" w:rsidR="00C03A1E" w:rsidRDefault="00C03A1E" w:rsidP="00C03A1E">
      <w:pPr>
        <w:pStyle w:val="B1"/>
      </w:pPr>
      <w:r>
        <w:t>-</w:t>
      </w:r>
      <w:r>
        <w:tab/>
        <w:t>SM Policy association establishment or modification request from the SMF;</w:t>
      </w:r>
    </w:p>
    <w:p w14:paraId="38AA3321" w14:textId="77777777" w:rsidR="00C03A1E" w:rsidRDefault="00C03A1E" w:rsidP="00C03A1E">
      <w:pPr>
        <w:pStyle w:val="B1"/>
      </w:pPr>
      <w:r>
        <w:t>-</w:t>
      </w:r>
      <w:r>
        <w:tab/>
        <w:t>Notifications received from UDR or CHF on UE subscription change;</w:t>
      </w:r>
    </w:p>
    <w:p w14:paraId="74783A19" w14:textId="77777777" w:rsidR="00C03A1E" w:rsidRDefault="00C03A1E" w:rsidP="00C03A1E">
      <w:pPr>
        <w:pStyle w:val="B1"/>
      </w:pPr>
      <w:r>
        <w:t>-</w:t>
      </w:r>
      <w:r>
        <w:tab/>
        <w:t>Analytics information received.</w:t>
      </w:r>
    </w:p>
    <w:p w14:paraId="4359CB5D" w14:textId="77777777" w:rsidR="00C03A1E" w:rsidRDefault="00C03A1E" w:rsidP="00C03A1E">
      <w:pPr>
        <w:pStyle w:val="NO"/>
      </w:pPr>
      <w:r>
        <w:t>NOTE 2:</w:t>
      </w:r>
      <w:r>
        <w:tab/>
        <w:t xml:space="preserve">Examples of operator policies where network analytics information from NWDAF is required as inputs for policy decisions are described in subclause 6.1.1.3 of 3GPP TS 23.503[4]. </w:t>
      </w:r>
    </w:p>
    <w:p w14:paraId="6F1A89E6" w14:textId="77777777" w:rsidR="00C03A1E" w:rsidRPr="0073315E" w:rsidRDefault="00C03A1E" w:rsidP="006B26BD"/>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060A0" w14:textId="77777777" w:rsidR="009B2431" w:rsidRDefault="009B2431">
      <w:r>
        <w:separator/>
      </w:r>
    </w:p>
  </w:endnote>
  <w:endnote w:type="continuationSeparator" w:id="0">
    <w:p w14:paraId="084A4E53" w14:textId="77777777" w:rsidR="009B2431" w:rsidRDefault="009B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91088" w14:textId="77777777" w:rsidR="009B2431" w:rsidRDefault="009B2431">
      <w:r>
        <w:separator/>
      </w:r>
    </w:p>
  </w:footnote>
  <w:footnote w:type="continuationSeparator" w:id="0">
    <w:p w14:paraId="17277010" w14:textId="77777777" w:rsidR="009B2431" w:rsidRDefault="009B2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3315E" w:rsidRDefault="00733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3315E" w:rsidRDefault="007331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3315E" w:rsidRDefault="007331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3315E" w:rsidRDefault="007331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84B2153"/>
    <w:multiLevelType w:val="hybridMultilevel"/>
    <w:tmpl w:val="F8E88AF8"/>
    <w:lvl w:ilvl="0" w:tplc="B400DB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6C3C98"/>
    <w:multiLevelType w:val="hybridMultilevel"/>
    <w:tmpl w:val="89D2E552"/>
    <w:lvl w:ilvl="0" w:tplc="09A2E2B2">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1"/>
  </w:num>
  <w:num w:numId="6">
    <w:abstractNumId w:val="20"/>
  </w:num>
  <w:num w:numId="7">
    <w:abstractNumId w:val="3"/>
  </w:num>
  <w:num w:numId="8">
    <w:abstractNumId w:val="15"/>
  </w:num>
  <w:num w:numId="9">
    <w:abstractNumId w:val="0"/>
  </w:num>
  <w:num w:numId="10">
    <w:abstractNumId w:val="12"/>
  </w:num>
  <w:num w:numId="11">
    <w:abstractNumId w:val="40"/>
  </w:num>
  <w:num w:numId="12">
    <w:abstractNumId w:val="45"/>
  </w:num>
  <w:num w:numId="13">
    <w:abstractNumId w:val="43"/>
  </w:num>
  <w:num w:numId="14">
    <w:abstractNumId w:val="21"/>
  </w:num>
  <w:num w:numId="15">
    <w:abstractNumId w:val="7"/>
  </w:num>
  <w:num w:numId="16">
    <w:abstractNumId w:val="10"/>
  </w:num>
  <w:num w:numId="17">
    <w:abstractNumId w:val="25"/>
  </w:num>
  <w:num w:numId="18">
    <w:abstractNumId w:val="4"/>
  </w:num>
  <w:num w:numId="19">
    <w:abstractNumId w:val="39"/>
  </w:num>
  <w:num w:numId="20">
    <w:abstractNumId w:val="26"/>
  </w:num>
  <w:num w:numId="21">
    <w:abstractNumId w:val="18"/>
  </w:num>
  <w:num w:numId="22">
    <w:abstractNumId w:val="38"/>
  </w:num>
  <w:num w:numId="23">
    <w:abstractNumId w:val="11"/>
  </w:num>
  <w:num w:numId="24">
    <w:abstractNumId w:val="47"/>
  </w:num>
  <w:num w:numId="25">
    <w:abstractNumId w:val="27"/>
  </w:num>
  <w:num w:numId="26">
    <w:abstractNumId w:val="31"/>
  </w:num>
  <w:num w:numId="27">
    <w:abstractNumId w:val="33"/>
  </w:num>
  <w:num w:numId="28">
    <w:abstractNumId w:val="22"/>
  </w:num>
  <w:num w:numId="29">
    <w:abstractNumId w:val="13"/>
  </w:num>
  <w:num w:numId="30">
    <w:abstractNumId w:val="16"/>
  </w:num>
  <w:num w:numId="31">
    <w:abstractNumId w:val="23"/>
  </w:num>
  <w:num w:numId="32">
    <w:abstractNumId w:val="9"/>
  </w:num>
  <w:num w:numId="33">
    <w:abstractNumId w:val="36"/>
  </w:num>
  <w:num w:numId="34">
    <w:abstractNumId w:val="35"/>
  </w:num>
  <w:num w:numId="35">
    <w:abstractNumId w:val="19"/>
  </w:num>
  <w:num w:numId="36">
    <w:abstractNumId w:val="28"/>
  </w:num>
  <w:num w:numId="37">
    <w:abstractNumId w:val="29"/>
  </w:num>
  <w:num w:numId="38">
    <w:abstractNumId w:val="30"/>
  </w:num>
  <w:num w:numId="39">
    <w:abstractNumId w:val="8"/>
  </w:num>
  <w:num w:numId="40">
    <w:abstractNumId w:val="37"/>
  </w:num>
  <w:num w:numId="41">
    <w:abstractNumId w:val="17"/>
  </w:num>
  <w:num w:numId="42">
    <w:abstractNumId w:val="42"/>
  </w:num>
  <w:num w:numId="43">
    <w:abstractNumId w:val="24"/>
  </w:num>
  <w:num w:numId="44">
    <w:abstractNumId w:val="5"/>
  </w:num>
  <w:num w:numId="45">
    <w:abstractNumId w:val="6"/>
  </w:num>
  <w:num w:numId="46">
    <w:abstractNumId w:val="44"/>
  </w:num>
  <w:num w:numId="47">
    <w:abstractNumId w:val="32"/>
  </w:num>
  <w:num w:numId="48">
    <w:abstractNumId w:val="14"/>
  </w:num>
  <w:num w:numId="4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0F11F0"/>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3548A"/>
    <w:rsid w:val="00240789"/>
    <w:rsid w:val="00243BFC"/>
    <w:rsid w:val="0026472A"/>
    <w:rsid w:val="00270FAF"/>
    <w:rsid w:val="002725AB"/>
    <w:rsid w:val="00276912"/>
    <w:rsid w:val="00282711"/>
    <w:rsid w:val="002B1AAD"/>
    <w:rsid w:val="002E5227"/>
    <w:rsid w:val="00305A69"/>
    <w:rsid w:val="00316021"/>
    <w:rsid w:val="0034295A"/>
    <w:rsid w:val="00353B37"/>
    <w:rsid w:val="00354E40"/>
    <w:rsid w:val="003E6C2E"/>
    <w:rsid w:val="003F06AE"/>
    <w:rsid w:val="003F13FF"/>
    <w:rsid w:val="0040439F"/>
    <w:rsid w:val="00413910"/>
    <w:rsid w:val="00424FA6"/>
    <w:rsid w:val="0043766B"/>
    <w:rsid w:val="00440CE3"/>
    <w:rsid w:val="00457152"/>
    <w:rsid w:val="00482F07"/>
    <w:rsid w:val="0049431C"/>
    <w:rsid w:val="004F2E82"/>
    <w:rsid w:val="005564B2"/>
    <w:rsid w:val="00563999"/>
    <w:rsid w:val="0059170F"/>
    <w:rsid w:val="00592A06"/>
    <w:rsid w:val="005C2AFA"/>
    <w:rsid w:val="005C79D8"/>
    <w:rsid w:val="005C7C7C"/>
    <w:rsid w:val="00610A36"/>
    <w:rsid w:val="006416B4"/>
    <w:rsid w:val="00650E7F"/>
    <w:rsid w:val="006514C2"/>
    <w:rsid w:val="00657B2D"/>
    <w:rsid w:val="00673014"/>
    <w:rsid w:val="006A45E7"/>
    <w:rsid w:val="006B26BD"/>
    <w:rsid w:val="006F46E0"/>
    <w:rsid w:val="00703565"/>
    <w:rsid w:val="00704F3C"/>
    <w:rsid w:val="00717DB2"/>
    <w:rsid w:val="007215DC"/>
    <w:rsid w:val="0073315E"/>
    <w:rsid w:val="00737EE3"/>
    <w:rsid w:val="00743397"/>
    <w:rsid w:val="00761CB9"/>
    <w:rsid w:val="00775F51"/>
    <w:rsid w:val="00785313"/>
    <w:rsid w:val="007B1279"/>
    <w:rsid w:val="007C1DDF"/>
    <w:rsid w:val="007D2A31"/>
    <w:rsid w:val="007F1A9C"/>
    <w:rsid w:val="007F7A7D"/>
    <w:rsid w:val="00823F39"/>
    <w:rsid w:val="00870CA9"/>
    <w:rsid w:val="00885C3E"/>
    <w:rsid w:val="00893A10"/>
    <w:rsid w:val="008B02B5"/>
    <w:rsid w:val="008B2A92"/>
    <w:rsid w:val="008C1FC7"/>
    <w:rsid w:val="008D04F9"/>
    <w:rsid w:val="008E6391"/>
    <w:rsid w:val="00904F10"/>
    <w:rsid w:val="00906F96"/>
    <w:rsid w:val="009139C6"/>
    <w:rsid w:val="00942A7D"/>
    <w:rsid w:val="00972309"/>
    <w:rsid w:val="00973069"/>
    <w:rsid w:val="00976E6E"/>
    <w:rsid w:val="009805F6"/>
    <w:rsid w:val="009853C9"/>
    <w:rsid w:val="009869C2"/>
    <w:rsid w:val="009A278C"/>
    <w:rsid w:val="009B12C9"/>
    <w:rsid w:val="009B2431"/>
    <w:rsid w:val="009C6BB3"/>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E5888"/>
    <w:rsid w:val="00BF0689"/>
    <w:rsid w:val="00BF5B6D"/>
    <w:rsid w:val="00C03A1E"/>
    <w:rsid w:val="00C30BD7"/>
    <w:rsid w:val="00C5113E"/>
    <w:rsid w:val="00C52B85"/>
    <w:rsid w:val="00C9097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D0C2B"/>
    <w:rsid w:val="00DD7D02"/>
    <w:rsid w:val="00DF165D"/>
    <w:rsid w:val="00E03108"/>
    <w:rsid w:val="00E209A5"/>
    <w:rsid w:val="00E26D23"/>
    <w:rsid w:val="00E40E5A"/>
    <w:rsid w:val="00E861DB"/>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AFFB-4643-4F1E-A88A-E299B186F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2525</TotalTime>
  <Pages>1</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58</cp:revision>
  <cp:lastPrinted>1899-12-31T23:00:00Z</cp:lastPrinted>
  <dcterms:created xsi:type="dcterms:W3CDTF">2021-08-23T09:05:00Z</dcterms:created>
  <dcterms:modified xsi:type="dcterms:W3CDTF">2022-03-30T08:24:00Z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